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28DC" w14:textId="77777777" w:rsidR="00CC52DD" w:rsidRDefault="00F15050">
      <w:pPr>
        <w:spacing w:before="39"/>
        <w:ind w:left="1951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4B4AC532" wp14:editId="0E7BFEBC">
            <wp:simplePos x="0" y="0"/>
            <wp:positionH relativeFrom="page">
              <wp:posOffset>914400</wp:posOffset>
            </wp:positionH>
            <wp:positionV relativeFrom="paragraph">
              <wp:posOffset>25400</wp:posOffset>
            </wp:positionV>
            <wp:extent cx="887729" cy="887729"/>
            <wp:effectExtent l="0" t="0" r="0" b="0"/>
            <wp:wrapNone/>
            <wp:docPr id="2" name="Image 2" descr="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729" cy="887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Exhibit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Display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Policy</w:t>
      </w:r>
    </w:p>
    <w:p w14:paraId="106C57E4" w14:textId="77777777" w:rsidR="00CC52DD" w:rsidRDefault="00CC52DD">
      <w:pPr>
        <w:pStyle w:val="BodyText"/>
        <w:ind w:left="0"/>
        <w:rPr>
          <w:b/>
        </w:rPr>
      </w:pPr>
    </w:p>
    <w:p w14:paraId="277482BF" w14:textId="4AF05197" w:rsidR="00CC52DD" w:rsidRDefault="00F15050">
      <w:pPr>
        <w:pStyle w:val="BodyText"/>
        <w:spacing w:before="1"/>
        <w:ind w:left="1950"/>
      </w:pPr>
      <w:r>
        <w:t xml:space="preserve">The Alameda Free Library (Library) may allow external </w:t>
      </w:r>
      <w:r w:rsidR="000859A8">
        <w:t>organizations</w:t>
      </w:r>
      <w:r>
        <w:t>, groups, or individuals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 of</w:t>
      </w:r>
      <w:r>
        <w:rPr>
          <w:spacing w:val="-3"/>
        </w:rPr>
        <w:t xml:space="preserve"> </w:t>
      </w:r>
      <w:r>
        <w:t>Alameda</w:t>
      </w:r>
      <w:r>
        <w:rPr>
          <w:spacing w:val="-1"/>
        </w:rPr>
        <w:t xml:space="preserve"> </w:t>
      </w:r>
      <w:r>
        <w:t>to use exhibit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display space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the library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educa</w:t>
      </w:r>
      <w:r w:rsidR="000859A8">
        <w:t>ti</w:t>
      </w:r>
      <w:r>
        <w:rPr>
          <w:spacing w:val="-2"/>
        </w:rPr>
        <w:t>onal,</w:t>
      </w:r>
      <w:r>
        <w:rPr>
          <w:spacing w:val="-11"/>
        </w:rPr>
        <w:t xml:space="preserve"> </w:t>
      </w:r>
      <w:r>
        <w:rPr>
          <w:spacing w:val="-2"/>
        </w:rPr>
        <w:t>informa</w:t>
      </w:r>
      <w:r w:rsidR="000859A8">
        <w:t>ti</w:t>
      </w:r>
      <w:r>
        <w:rPr>
          <w:spacing w:val="-2"/>
        </w:rPr>
        <w:t>onal,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cultural</w:t>
      </w:r>
      <w:r>
        <w:rPr>
          <w:spacing w:val="-10"/>
        </w:rPr>
        <w:t xml:space="preserve"> </w:t>
      </w:r>
      <w:r>
        <w:rPr>
          <w:spacing w:val="-2"/>
        </w:rPr>
        <w:t>interest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community.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 xml:space="preserve">Library </w:t>
      </w:r>
      <w:r>
        <w:t>welcomes</w:t>
      </w:r>
      <w:r>
        <w:rPr>
          <w:spacing w:val="-11"/>
        </w:rPr>
        <w:t xml:space="preserve"> </w:t>
      </w:r>
      <w:r>
        <w:t>exhibits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displays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strengthen</w:t>
      </w:r>
      <w:r>
        <w:rPr>
          <w:spacing w:val="-9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mission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facilitate</w:t>
      </w:r>
      <w:r>
        <w:rPr>
          <w:spacing w:val="-7"/>
        </w:rPr>
        <w:t xml:space="preserve"> </w:t>
      </w:r>
      <w:r>
        <w:rPr>
          <w:spacing w:val="-2"/>
        </w:rPr>
        <w:t>connec</w:t>
      </w:r>
      <w:r w:rsidR="000859A8">
        <w:t>ti</w:t>
      </w:r>
      <w:r>
        <w:rPr>
          <w:spacing w:val="-2"/>
        </w:rPr>
        <w:t>ons</w:t>
      </w:r>
    </w:p>
    <w:p w14:paraId="3BC8A6B7" w14:textId="77D3AD65" w:rsidR="00CC52DD" w:rsidRDefault="00F15050">
      <w:pPr>
        <w:pStyle w:val="BodyText"/>
        <w:ind w:left="359"/>
      </w:pPr>
      <w:r>
        <w:t>within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community.</w:t>
      </w:r>
      <w:r>
        <w:rPr>
          <w:spacing w:val="-10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establishes</w:t>
      </w:r>
      <w:r>
        <w:rPr>
          <w:spacing w:val="-9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external</w:t>
      </w:r>
      <w:r>
        <w:rPr>
          <w:spacing w:val="-10"/>
        </w:rPr>
        <w:t xml:space="preserve"> </w:t>
      </w:r>
      <w:r>
        <w:t>organiza</w:t>
      </w:r>
      <w:r w:rsidR="000859A8">
        <w:t>ti</w:t>
      </w:r>
      <w:r>
        <w:t>ons,</w:t>
      </w:r>
      <w:r>
        <w:rPr>
          <w:spacing w:val="-7"/>
        </w:rPr>
        <w:t xml:space="preserve"> </w:t>
      </w:r>
      <w:r>
        <w:t>groups,</w:t>
      </w:r>
      <w:r>
        <w:rPr>
          <w:spacing w:val="-9"/>
        </w:rPr>
        <w:t xml:space="preserve"> </w:t>
      </w:r>
      <w:r>
        <w:rPr>
          <w:spacing w:val="-51"/>
        </w:rPr>
        <w:t>or</w:t>
      </w:r>
      <w:r>
        <w:t xml:space="preserve"> individuals to reserve and make use of exhibit and display space in the library.</w:t>
      </w:r>
    </w:p>
    <w:p w14:paraId="1BB07F58" w14:textId="1FD6DBD2" w:rsidR="00CC52DD" w:rsidRDefault="00F15050">
      <w:pPr>
        <w:pStyle w:val="BodyText"/>
        <w:spacing w:before="267"/>
        <w:ind w:left="359"/>
      </w:pPr>
      <w:r>
        <w:t>In accordance with the</w:t>
      </w:r>
      <w:r>
        <w:rPr>
          <w:spacing w:val="-1"/>
        </w:rPr>
        <w:t xml:space="preserve"> </w:t>
      </w:r>
      <w:r>
        <w:t>American Library Associa</w:t>
      </w:r>
      <w:r w:rsidR="000859A8">
        <w:t>ti</w:t>
      </w:r>
      <w:r>
        <w:t xml:space="preserve">on’s </w:t>
      </w:r>
      <w:r>
        <w:rPr>
          <w:i/>
          <w:iCs/>
        </w:rPr>
        <w:t>Library Bill of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Rights</w:t>
      </w:r>
      <w:r>
        <w:t xml:space="preserve">, exhibit and display space is </w:t>
      </w:r>
      <w:r>
        <w:rPr>
          <w:spacing w:val="-2"/>
        </w:rPr>
        <w:t>available</w:t>
      </w:r>
      <w:r>
        <w:rPr>
          <w:spacing w:val="-8"/>
        </w:rPr>
        <w:t xml:space="preserve"> </w:t>
      </w:r>
      <w:r>
        <w:rPr>
          <w:spacing w:val="-2"/>
        </w:rPr>
        <w:t>on</w:t>
      </w:r>
      <w:r>
        <w:rPr>
          <w:spacing w:val="-7"/>
        </w:rPr>
        <w:t xml:space="preserve"> </w:t>
      </w:r>
      <w:r>
        <w:rPr>
          <w:spacing w:val="-2"/>
        </w:rPr>
        <w:t>an</w:t>
      </w:r>
      <w:r>
        <w:rPr>
          <w:spacing w:val="-7"/>
        </w:rPr>
        <w:t xml:space="preserve"> </w:t>
      </w:r>
      <w:r>
        <w:rPr>
          <w:spacing w:val="-2"/>
        </w:rPr>
        <w:t>equitable</w:t>
      </w:r>
      <w:r>
        <w:rPr>
          <w:spacing w:val="-5"/>
        </w:rPr>
        <w:t xml:space="preserve"> </w:t>
      </w:r>
      <w:r>
        <w:rPr>
          <w:spacing w:val="-2"/>
        </w:rPr>
        <w:t>basis,</w:t>
      </w:r>
      <w:r>
        <w:rPr>
          <w:spacing w:val="-6"/>
        </w:rPr>
        <w:t xml:space="preserve"> </w:t>
      </w:r>
      <w:r>
        <w:rPr>
          <w:spacing w:val="-2"/>
        </w:rPr>
        <w:t>regardless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beliefs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aﬃlia</w:t>
      </w:r>
      <w:r w:rsidR="000859A8">
        <w:t>ti</w:t>
      </w:r>
      <w:r>
        <w:rPr>
          <w:spacing w:val="-2"/>
        </w:rPr>
        <w:t>ons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individuals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groups</w:t>
      </w:r>
      <w:r>
        <w:rPr>
          <w:spacing w:val="-6"/>
        </w:rPr>
        <w:t xml:space="preserve"> </w:t>
      </w:r>
      <w:r>
        <w:rPr>
          <w:spacing w:val="-2"/>
        </w:rPr>
        <w:t>reques</w:t>
      </w:r>
      <w:r w:rsidR="000859A8">
        <w:t>ti</w:t>
      </w:r>
      <w:r>
        <w:rPr>
          <w:spacing w:val="-2"/>
        </w:rPr>
        <w:t xml:space="preserve">ng </w:t>
      </w:r>
      <w:r>
        <w:t>their use.</w:t>
      </w:r>
    </w:p>
    <w:p w14:paraId="5D1203AC" w14:textId="77777777" w:rsidR="00CC52DD" w:rsidRDefault="00CC52DD">
      <w:pPr>
        <w:pStyle w:val="BodyText"/>
        <w:spacing w:before="3"/>
        <w:ind w:left="0"/>
      </w:pPr>
    </w:p>
    <w:p w14:paraId="1723B9E0" w14:textId="6838D5FB" w:rsidR="00CC52DD" w:rsidRDefault="00F15050">
      <w:pPr>
        <w:pStyle w:val="ListParagraph"/>
        <w:numPr>
          <w:ilvl w:val="0"/>
          <w:numId w:val="1"/>
        </w:numPr>
        <w:tabs>
          <w:tab w:val="left" w:pos="1080"/>
        </w:tabs>
        <w:spacing w:line="237" w:lineRule="auto"/>
        <w:ind w:right="957"/>
        <w:rPr>
          <w:rFonts w:ascii="Symbol" w:eastAsia="Symbol" w:hAnsi="Symbol" w:cs="Symbol"/>
          <w:sz w:val="20"/>
          <w:szCs w:val="20"/>
        </w:rPr>
      </w:pPr>
      <w:r>
        <w:t>Materials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excluded</w:t>
      </w:r>
      <w:r>
        <w:rPr>
          <w:spacing w:val="-5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origin,</w:t>
      </w:r>
      <w:r>
        <w:rPr>
          <w:spacing w:val="-4"/>
        </w:rPr>
        <w:t xml:space="preserve"> </w:t>
      </w:r>
      <w:r>
        <w:t>background,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views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those contribu</w:t>
      </w:r>
      <w:r w:rsidR="000859A8">
        <w:t>ti</w:t>
      </w:r>
      <w:r>
        <w:t>ng to their crea</w:t>
      </w:r>
      <w:r w:rsidR="000859A8">
        <w:t>ti</w:t>
      </w:r>
      <w:r>
        <w:t>on. (Ar</w:t>
      </w:r>
      <w:r w:rsidR="000859A8">
        <w:t>ti</w:t>
      </w:r>
      <w:r>
        <w:t>cle I)</w:t>
      </w:r>
    </w:p>
    <w:p w14:paraId="509E786D" w14:textId="704B94E5" w:rsidR="00CC52DD" w:rsidRDefault="00F15050">
      <w:pPr>
        <w:pStyle w:val="ListParagraph"/>
        <w:numPr>
          <w:ilvl w:val="0"/>
          <w:numId w:val="1"/>
        </w:numPr>
        <w:tabs>
          <w:tab w:val="left" w:pos="1080"/>
        </w:tabs>
        <w:spacing w:before="2"/>
        <w:ind w:right="411"/>
        <w:rPr>
          <w:rFonts w:ascii="Symbol" w:eastAsia="Symbol" w:hAnsi="Symbol" w:cs="Symbol"/>
          <w:sz w:val="20"/>
          <w:szCs w:val="20"/>
        </w:rPr>
      </w:pPr>
      <w:r>
        <w:t>Materials</w:t>
      </w:r>
      <w:r>
        <w:rPr>
          <w:spacing w:val="-13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proscribed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removed</w:t>
      </w:r>
      <w:r>
        <w:rPr>
          <w:spacing w:val="-13"/>
        </w:rPr>
        <w:t xml:space="preserve"> </w:t>
      </w:r>
      <w:r>
        <w:t>because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par</w:t>
      </w:r>
      <w:r w:rsidR="000859A8">
        <w:t>ti</w:t>
      </w:r>
      <w:r>
        <w:t>san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doctrinal</w:t>
      </w:r>
      <w:r>
        <w:rPr>
          <w:spacing w:val="-13"/>
        </w:rPr>
        <w:t xml:space="preserve"> </w:t>
      </w:r>
      <w:r>
        <w:t>disapproval. (Ar</w:t>
      </w:r>
      <w:r w:rsidR="000859A8">
        <w:t>ti</w:t>
      </w:r>
      <w:r>
        <w:t>cle II)</w:t>
      </w:r>
    </w:p>
    <w:p w14:paraId="6A7ED452" w14:textId="791D0613" w:rsidR="00CC52DD" w:rsidRDefault="00F15050">
      <w:pPr>
        <w:pStyle w:val="ListParagraph"/>
        <w:numPr>
          <w:ilvl w:val="0"/>
          <w:numId w:val="1"/>
        </w:numPr>
        <w:tabs>
          <w:tab w:val="left" w:pos="1080"/>
        </w:tabs>
        <w:ind w:right="31"/>
        <w:rPr>
          <w:rFonts w:ascii="Symbol" w:eastAsia="Symbol" w:hAnsi="Symbol" w:cs="Symbol"/>
          <w:sz w:val="20"/>
          <w:szCs w:val="20"/>
        </w:rPr>
      </w:pPr>
      <w:r>
        <w:t>Libraries</w:t>
      </w:r>
      <w:r>
        <w:rPr>
          <w:spacing w:val="-13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make</w:t>
      </w:r>
      <w:r>
        <w:rPr>
          <w:spacing w:val="-11"/>
        </w:rPr>
        <w:t xml:space="preserve"> </w:t>
      </w:r>
      <w:r>
        <w:t>exhibit</w:t>
      </w:r>
      <w:r>
        <w:rPr>
          <w:spacing w:val="-11"/>
        </w:rPr>
        <w:t xml:space="preserve"> </w:t>
      </w:r>
      <w:r>
        <w:t>spaces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mee</w:t>
      </w:r>
      <w:r w:rsidR="000859A8">
        <w:t>ti</w:t>
      </w:r>
      <w:r>
        <w:t>ng</w:t>
      </w:r>
      <w:r>
        <w:rPr>
          <w:spacing w:val="-12"/>
        </w:rPr>
        <w:t xml:space="preserve"> </w:t>
      </w:r>
      <w:r>
        <w:t>rooms</w:t>
      </w:r>
      <w:r>
        <w:rPr>
          <w:spacing w:val="-12"/>
        </w:rPr>
        <w:t xml:space="preserve"> </w:t>
      </w:r>
      <w:r>
        <w:t>available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serve</w:t>
      </w:r>
      <w:r>
        <w:rPr>
          <w:spacing w:val="-13"/>
        </w:rPr>
        <w:t xml:space="preserve"> </w:t>
      </w:r>
      <w:r>
        <w:t>should make such facili</w:t>
      </w:r>
      <w:r w:rsidR="000859A8">
        <w:t>ti</w:t>
      </w:r>
      <w:r>
        <w:t>es available on an equitable basis, regardless of the beliefs or aﬃlia</w:t>
      </w:r>
      <w:r w:rsidR="000859A8">
        <w:t>ti</w:t>
      </w:r>
      <w:r>
        <w:t>ons of individuals or groups reques</w:t>
      </w:r>
      <w:r w:rsidR="000859A8">
        <w:t>ti</w:t>
      </w:r>
      <w:r>
        <w:t>ng their use. (Ar</w:t>
      </w:r>
      <w:r w:rsidR="000859A8">
        <w:t>ti</w:t>
      </w:r>
      <w:r>
        <w:t>cle VI)</w:t>
      </w:r>
    </w:p>
    <w:p w14:paraId="1EA44F1E" w14:textId="77777777" w:rsidR="00CC52DD" w:rsidRDefault="00CC52DD">
      <w:pPr>
        <w:pStyle w:val="BodyText"/>
        <w:spacing w:before="1"/>
        <w:ind w:left="0"/>
      </w:pPr>
    </w:p>
    <w:p w14:paraId="207BF902" w14:textId="4BD28175" w:rsidR="00CC52DD" w:rsidRDefault="00F15050">
      <w:pPr>
        <w:pStyle w:val="BodyText"/>
        <w:ind w:left="359"/>
      </w:pPr>
      <w:r>
        <w:t>The Alameda Free Library endeavors to present a broad spectrum of opinions and viewpoints.</w:t>
      </w:r>
      <w:r>
        <w:rPr>
          <w:spacing w:val="40"/>
        </w:rPr>
        <w:t xml:space="preserve"> </w:t>
      </w:r>
      <w:r>
        <w:t>The provision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exhibit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display</w:t>
      </w:r>
      <w:r>
        <w:rPr>
          <w:spacing w:val="-10"/>
        </w:rPr>
        <w:t xml:space="preserve"> </w:t>
      </w:r>
      <w:r>
        <w:t>space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public</w:t>
      </w:r>
      <w:r>
        <w:rPr>
          <w:spacing w:val="-11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does</w:t>
      </w:r>
      <w:r>
        <w:rPr>
          <w:spacing w:val="-11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cons</w:t>
      </w:r>
      <w:r w:rsidR="000859A8">
        <w:t>ti</w:t>
      </w:r>
      <w:r>
        <w:t>tute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imply</w:t>
      </w:r>
      <w:r>
        <w:rPr>
          <w:spacing w:val="-11"/>
        </w:rPr>
        <w:t xml:space="preserve"> </w:t>
      </w:r>
      <w:r>
        <w:t>Library</w:t>
      </w:r>
      <w:r>
        <w:rPr>
          <w:spacing w:val="-11"/>
        </w:rPr>
        <w:t xml:space="preserve"> </w:t>
      </w:r>
      <w:r>
        <w:t>endorsement</w:t>
      </w:r>
      <w:r>
        <w:rPr>
          <w:spacing w:val="-12"/>
        </w:rPr>
        <w:t xml:space="preserve"> </w:t>
      </w:r>
      <w:r>
        <w:t>of the opinions or viewpoints</w:t>
      </w:r>
      <w:r>
        <w:rPr>
          <w:spacing w:val="-1"/>
        </w:rPr>
        <w:t xml:space="preserve"> </w:t>
      </w:r>
      <w:r>
        <w:t>of topics advocated by the exhibits and displays or the individuals or groups responsible for them.</w:t>
      </w:r>
    </w:p>
    <w:p w14:paraId="4F0C83AA" w14:textId="7009DED4" w:rsidR="00CC52DD" w:rsidRDefault="00F15050">
      <w:pPr>
        <w:spacing w:before="267"/>
        <w:ind w:left="359"/>
        <w:rPr>
          <w:b/>
          <w:bCs/>
        </w:rPr>
      </w:pPr>
      <w:r>
        <w:rPr>
          <w:b/>
          <w:bCs/>
        </w:rPr>
        <w:t>Exhibit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Display</w:t>
      </w:r>
      <w:r>
        <w:rPr>
          <w:b/>
          <w:bCs/>
          <w:spacing w:val="-5"/>
        </w:rPr>
        <w:t xml:space="preserve"> </w:t>
      </w:r>
      <w:r w:rsidRPr="000859A8">
        <w:rPr>
          <w:b/>
          <w:bCs/>
          <w:spacing w:val="-2"/>
        </w:rPr>
        <w:t>Priori</w:t>
      </w:r>
      <w:r w:rsidR="000859A8" w:rsidRPr="000859A8">
        <w:rPr>
          <w:b/>
          <w:bCs/>
        </w:rPr>
        <w:t>ti</w:t>
      </w:r>
      <w:r w:rsidRPr="000859A8">
        <w:rPr>
          <w:b/>
          <w:bCs/>
          <w:spacing w:val="-2"/>
        </w:rPr>
        <w:t>es</w:t>
      </w:r>
    </w:p>
    <w:p w14:paraId="2E23E49B" w14:textId="77777777" w:rsidR="00CC52DD" w:rsidRDefault="00CC52DD">
      <w:pPr>
        <w:pStyle w:val="BodyText"/>
        <w:spacing w:before="1"/>
        <w:ind w:left="0"/>
        <w:rPr>
          <w:b/>
        </w:rPr>
      </w:pPr>
    </w:p>
    <w:p w14:paraId="3205CB9A" w14:textId="5987A6C7" w:rsidR="00CC52DD" w:rsidRDefault="00F15050">
      <w:pPr>
        <w:pStyle w:val="ListParagraph"/>
        <w:numPr>
          <w:ilvl w:val="0"/>
          <w:numId w:val="1"/>
        </w:numPr>
        <w:tabs>
          <w:tab w:val="left" w:pos="1079"/>
        </w:tabs>
        <w:ind w:left="1079"/>
        <w:rPr>
          <w:rFonts w:ascii="Symbol" w:eastAsia="Symbol" w:hAnsi="Symbol" w:cs="Symbol"/>
        </w:rPr>
      </w:pPr>
      <w:r>
        <w:t>Connec</w:t>
      </w:r>
      <w:r w:rsidR="000859A8">
        <w:t>ti</w:t>
      </w:r>
      <w:r>
        <w:t>on</w:t>
      </w:r>
      <w:r>
        <w:rPr>
          <w:spacing w:val="-2"/>
        </w:rPr>
        <w:t xml:space="preserve"> </w:t>
      </w:r>
      <w:r>
        <w:t>to Library</w:t>
      </w:r>
      <w:r>
        <w:rPr>
          <w:spacing w:val="-2"/>
        </w:rPr>
        <w:t xml:space="preserve"> </w:t>
      </w:r>
      <w:r>
        <w:t>mission, vision,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goals</w:t>
      </w:r>
    </w:p>
    <w:p w14:paraId="23609CC0" w14:textId="34B4ABEC" w:rsidR="00CC52DD" w:rsidRDefault="00F15050">
      <w:pPr>
        <w:pStyle w:val="ListParagraph"/>
        <w:numPr>
          <w:ilvl w:val="0"/>
          <w:numId w:val="1"/>
        </w:numPr>
        <w:tabs>
          <w:tab w:val="left" w:pos="1079"/>
        </w:tabs>
        <w:spacing w:line="279" w:lineRule="exact"/>
        <w:ind w:left="1079"/>
        <w:rPr>
          <w:rFonts w:ascii="Symbol" w:eastAsia="Symbol" w:hAnsi="Symbol" w:cs="Symbol"/>
        </w:rPr>
      </w:pPr>
      <w:r>
        <w:t>Relevance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communi</w:t>
      </w:r>
      <w:r w:rsidR="000859A8">
        <w:t>ti</w:t>
      </w:r>
      <w:r>
        <w:t>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ac</w:t>
      </w:r>
      <w:r w:rsidR="000859A8">
        <w:t>ti</w:t>
      </w:r>
      <w:r>
        <w:rPr>
          <w:spacing w:val="-2"/>
        </w:rPr>
        <w:t>vi</w:t>
      </w:r>
      <w:r w:rsidR="000859A8">
        <w:t>ti</w:t>
      </w:r>
      <w:r>
        <w:rPr>
          <w:spacing w:val="-2"/>
        </w:rPr>
        <w:t>es</w:t>
      </w:r>
    </w:p>
    <w:p w14:paraId="4C6A485E" w14:textId="77777777" w:rsidR="00CC52DD" w:rsidRDefault="00F15050">
      <w:pPr>
        <w:pStyle w:val="ListParagraph"/>
        <w:numPr>
          <w:ilvl w:val="0"/>
          <w:numId w:val="1"/>
        </w:numPr>
        <w:tabs>
          <w:tab w:val="left" w:pos="1079"/>
        </w:tabs>
        <w:spacing w:line="279" w:lineRule="exact"/>
        <w:ind w:left="1079"/>
        <w:rPr>
          <w:rFonts w:ascii="Symbol" w:hAnsi="Symbol"/>
        </w:rPr>
      </w:pPr>
      <w:r>
        <w:t>Suitability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materials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exhibit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display</w:t>
      </w:r>
      <w:r>
        <w:rPr>
          <w:spacing w:val="-6"/>
        </w:rPr>
        <w:t xml:space="preserve"> </w:t>
      </w:r>
      <w:r>
        <w:rPr>
          <w:spacing w:val="-2"/>
        </w:rPr>
        <w:t>space</w:t>
      </w:r>
    </w:p>
    <w:p w14:paraId="24671717" w14:textId="77777777" w:rsidR="00CC52DD" w:rsidRDefault="00CC52DD">
      <w:pPr>
        <w:pStyle w:val="BodyText"/>
        <w:spacing w:before="1"/>
        <w:ind w:left="0"/>
      </w:pPr>
    </w:p>
    <w:p w14:paraId="21ED9823" w14:textId="78F7E1AC" w:rsidR="00CC52DD" w:rsidRDefault="00F15050">
      <w:pPr>
        <w:ind w:left="359"/>
        <w:rPr>
          <w:b/>
          <w:bCs/>
        </w:rPr>
      </w:pPr>
      <w:r>
        <w:rPr>
          <w:b/>
          <w:bCs/>
        </w:rPr>
        <w:t>Exhibit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Display</w:t>
      </w:r>
      <w:r>
        <w:rPr>
          <w:b/>
          <w:bCs/>
          <w:spacing w:val="-5"/>
        </w:rPr>
        <w:t xml:space="preserve"> </w:t>
      </w:r>
      <w:r w:rsidRPr="000859A8">
        <w:rPr>
          <w:b/>
          <w:bCs/>
          <w:spacing w:val="-2"/>
        </w:rPr>
        <w:t>Condi</w:t>
      </w:r>
      <w:r w:rsidR="000859A8" w:rsidRPr="000859A8">
        <w:rPr>
          <w:b/>
          <w:bCs/>
        </w:rPr>
        <w:t>ti</w:t>
      </w:r>
      <w:r w:rsidRPr="000859A8">
        <w:rPr>
          <w:b/>
          <w:bCs/>
          <w:spacing w:val="-2"/>
        </w:rPr>
        <w:t>ons</w:t>
      </w:r>
    </w:p>
    <w:p w14:paraId="32F234D5" w14:textId="77777777" w:rsidR="00CC52DD" w:rsidRDefault="00CC52DD">
      <w:pPr>
        <w:pStyle w:val="BodyText"/>
        <w:ind w:left="0"/>
        <w:rPr>
          <w:b/>
        </w:rPr>
      </w:pPr>
    </w:p>
    <w:p w14:paraId="10E1991D" w14:textId="0DB0F28D" w:rsidR="00CC52DD" w:rsidRDefault="00F15050">
      <w:pPr>
        <w:pStyle w:val="BodyText"/>
        <w:ind w:left="359"/>
      </w:pPr>
      <w:r>
        <w:t>Library</w:t>
      </w:r>
      <w:r>
        <w:rPr>
          <w:spacing w:val="-13"/>
        </w:rPr>
        <w:t xml:space="preserve"> </w:t>
      </w:r>
      <w:r>
        <w:t>staﬀ</w:t>
      </w:r>
      <w:r>
        <w:rPr>
          <w:spacing w:val="-12"/>
        </w:rPr>
        <w:t xml:space="preserve"> </w:t>
      </w:r>
      <w:r>
        <w:t>manage</w:t>
      </w:r>
      <w:r>
        <w:rPr>
          <w:spacing w:val="-13"/>
        </w:rPr>
        <w:t xml:space="preserve"> </w:t>
      </w:r>
      <w:r>
        <w:t>exhibit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display</w:t>
      </w:r>
      <w:r>
        <w:rPr>
          <w:spacing w:val="-12"/>
        </w:rPr>
        <w:t xml:space="preserve"> </w:t>
      </w:r>
      <w:r>
        <w:t>space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responsible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reserva</w:t>
      </w:r>
      <w:r w:rsidR="000859A8">
        <w:t>ti</w:t>
      </w:r>
      <w:r>
        <w:t>on</w:t>
      </w:r>
      <w:r>
        <w:rPr>
          <w:spacing w:val="-12"/>
        </w:rPr>
        <w:t xml:space="preserve"> </w:t>
      </w:r>
      <w:r>
        <w:t>procedures.</w:t>
      </w:r>
      <w:r>
        <w:rPr>
          <w:spacing w:val="-13"/>
        </w:rPr>
        <w:t xml:space="preserve"> </w:t>
      </w:r>
      <w:r>
        <w:t>Any individual or group interested in presen</w:t>
      </w:r>
      <w:r w:rsidR="000859A8">
        <w:t>ti</w:t>
      </w:r>
      <w:r>
        <w:t xml:space="preserve">ng an exhibit or display must adhere to the following </w:t>
      </w:r>
      <w:r>
        <w:rPr>
          <w:spacing w:val="-2"/>
        </w:rPr>
        <w:t>condi</w:t>
      </w:r>
      <w:r w:rsidR="000859A8">
        <w:t>ti</w:t>
      </w:r>
      <w:r>
        <w:rPr>
          <w:spacing w:val="-2"/>
        </w:rPr>
        <w:t>ons:</w:t>
      </w:r>
    </w:p>
    <w:p w14:paraId="39BB96D2" w14:textId="77777777" w:rsidR="00CC52DD" w:rsidRDefault="00CC52DD">
      <w:pPr>
        <w:pStyle w:val="BodyText"/>
        <w:spacing w:before="2"/>
        <w:ind w:left="0"/>
      </w:pPr>
    </w:p>
    <w:p w14:paraId="6C95D359" w14:textId="3701D0F0" w:rsidR="00CC52DD" w:rsidRDefault="00F1505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rFonts w:ascii="Symbol" w:eastAsia="Symbol" w:hAnsi="Symbol" w:cs="Symbol"/>
          <w:sz w:val="20"/>
          <w:szCs w:val="20"/>
        </w:rPr>
      </w:pPr>
      <w:r>
        <w:t>Exhibitors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Exhibit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Display</w:t>
      </w:r>
      <w:r>
        <w:rPr>
          <w:spacing w:val="-5"/>
        </w:rPr>
        <w:t xml:space="preserve"> </w:t>
      </w:r>
      <w:r>
        <w:rPr>
          <w:spacing w:val="-2"/>
        </w:rPr>
        <w:t>Applica</w:t>
      </w:r>
      <w:r w:rsidR="000859A8">
        <w:t>ti</w:t>
      </w:r>
      <w:r>
        <w:rPr>
          <w:spacing w:val="-2"/>
        </w:rPr>
        <w:t>on.</w:t>
      </w:r>
    </w:p>
    <w:p w14:paraId="4AD9EE19" w14:textId="77777777" w:rsidR="00CC52DD" w:rsidRDefault="00F15050">
      <w:pPr>
        <w:pStyle w:val="ListParagraph"/>
        <w:numPr>
          <w:ilvl w:val="0"/>
          <w:numId w:val="1"/>
        </w:numPr>
        <w:tabs>
          <w:tab w:val="left" w:pos="1079"/>
        </w:tabs>
        <w:spacing w:line="267" w:lineRule="exact"/>
        <w:ind w:left="1079" w:hanging="359"/>
        <w:rPr>
          <w:rFonts w:ascii="Symbol" w:hAnsi="Symbol"/>
          <w:sz w:val="20"/>
        </w:rPr>
      </w:pPr>
      <w:r>
        <w:t>The</w:t>
      </w:r>
      <w:r>
        <w:rPr>
          <w:spacing w:val="-6"/>
        </w:rPr>
        <w:t xml:space="preserve"> </w:t>
      </w:r>
      <w:r>
        <w:t>Library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rPr>
          <w:spacing w:val="-2"/>
        </w:rPr>
        <w:t>displayed.</w:t>
      </w:r>
    </w:p>
    <w:p w14:paraId="25901D29" w14:textId="05F359E7" w:rsidR="00CC52DD" w:rsidRDefault="00F15050">
      <w:pPr>
        <w:pStyle w:val="ListParagraph"/>
        <w:numPr>
          <w:ilvl w:val="0"/>
          <w:numId w:val="1"/>
        </w:numPr>
        <w:tabs>
          <w:tab w:val="left" w:pos="1080"/>
        </w:tabs>
        <w:ind w:right="225"/>
        <w:rPr>
          <w:rFonts w:ascii="Symbol" w:eastAsia="Symbol" w:hAnsi="Symbol" w:cs="Symbol"/>
          <w:sz w:val="20"/>
          <w:szCs w:val="20"/>
        </w:rPr>
      </w:pPr>
      <w:r>
        <w:t>Exhibit and display spaces serve as passageways for employees and visitors of all ages as they navigate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library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t>services.</w:t>
      </w:r>
      <w:r>
        <w:rPr>
          <w:spacing w:val="-9"/>
        </w:rPr>
        <w:t xml:space="preserve"> </w:t>
      </w:r>
      <w:r>
        <w:t>Accordingly,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Library</w:t>
      </w:r>
      <w:r>
        <w:rPr>
          <w:spacing w:val="-8"/>
        </w:rPr>
        <w:t xml:space="preserve"> </w:t>
      </w:r>
      <w:r>
        <w:t>discourages</w:t>
      </w:r>
      <w:r>
        <w:rPr>
          <w:spacing w:val="-9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containing images that include signiﬁcant elements of sexually explicit imagery, nudity, or graphic depic</w:t>
      </w:r>
      <w:r w:rsidR="000859A8">
        <w:t>ti</w:t>
      </w:r>
      <w:r>
        <w:t>ons of violence.</w:t>
      </w:r>
    </w:p>
    <w:p w14:paraId="24BB6CD6" w14:textId="1C0A4D90" w:rsidR="00CC52DD" w:rsidRDefault="00F15050">
      <w:pPr>
        <w:pStyle w:val="ListParagraph"/>
        <w:numPr>
          <w:ilvl w:val="0"/>
          <w:numId w:val="1"/>
        </w:numPr>
        <w:tabs>
          <w:tab w:val="left" w:pos="1080"/>
        </w:tabs>
        <w:ind w:right="136"/>
        <w:rPr>
          <w:rFonts w:ascii="Symbol" w:eastAsia="Symbol" w:hAnsi="Symbol" w:cs="Symbol"/>
          <w:sz w:val="20"/>
          <w:szCs w:val="20"/>
        </w:rPr>
      </w:pPr>
      <w:r>
        <w:t>The</w:t>
      </w:r>
      <w:r>
        <w:rPr>
          <w:spacing w:val="-3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reserves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remove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exhibi</w:t>
      </w:r>
      <w:r w:rsidR="000859A8">
        <w:t>ti</w:t>
      </w:r>
      <w:r>
        <w:t>on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grounds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53"/>
        </w:rPr>
        <w:t>if</w:t>
      </w:r>
      <w:r>
        <w:t xml:space="preserve"> the exhibi</w:t>
      </w:r>
      <w:r w:rsidR="000859A8">
        <w:t>ti</w:t>
      </w:r>
      <w:r>
        <w:t>on is a possible safety hazard, creates a maintenance problem, or otherwise interferes with library opera</w:t>
      </w:r>
      <w:r w:rsidR="000859A8">
        <w:t>ti</w:t>
      </w:r>
      <w:r>
        <w:t>ons.</w:t>
      </w:r>
    </w:p>
    <w:p w14:paraId="454B1766" w14:textId="77777777" w:rsidR="00CC52DD" w:rsidRDefault="00CC52DD">
      <w:pPr>
        <w:pStyle w:val="ListParagraph"/>
        <w:rPr>
          <w:rFonts w:ascii="Symbol" w:eastAsia="Symbol" w:hAnsi="Symbol" w:cs="Symbol"/>
          <w:sz w:val="20"/>
          <w:szCs w:val="20"/>
        </w:rPr>
        <w:sectPr w:rsidR="00CC52DD">
          <w:footerReference w:type="default" r:id="rId8"/>
          <w:type w:val="continuous"/>
          <w:pgSz w:w="12240" w:h="15840"/>
          <w:pgMar w:top="1400" w:right="1440" w:bottom="1200" w:left="1080" w:header="0" w:footer="1014" w:gutter="0"/>
          <w:pgNumType w:start="1"/>
          <w:cols w:space="720"/>
        </w:sectPr>
      </w:pPr>
    </w:p>
    <w:p w14:paraId="6CCD6CBC" w14:textId="77777777" w:rsidR="00CC52DD" w:rsidRDefault="00F15050">
      <w:pPr>
        <w:pStyle w:val="ListParagraph"/>
        <w:numPr>
          <w:ilvl w:val="0"/>
          <w:numId w:val="1"/>
        </w:numPr>
        <w:tabs>
          <w:tab w:val="left" w:pos="1079"/>
        </w:tabs>
        <w:spacing w:before="79"/>
        <w:ind w:left="1079" w:hanging="359"/>
        <w:rPr>
          <w:rFonts w:ascii="Symbol" w:hAnsi="Symbol"/>
          <w:sz w:val="20"/>
        </w:rPr>
      </w:pPr>
      <w:r>
        <w:lastRenderedPageBreak/>
        <w:t>Materials</w:t>
      </w:r>
      <w:r>
        <w:rPr>
          <w:spacing w:val="-11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ﬁt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space</w:t>
      </w:r>
      <w:r>
        <w:rPr>
          <w:spacing w:val="-9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mounted</w:t>
      </w:r>
      <w:r>
        <w:rPr>
          <w:spacing w:val="-8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rPr>
          <w:spacing w:val="-2"/>
        </w:rPr>
        <w:t>materials</w:t>
      </w:r>
    </w:p>
    <w:p w14:paraId="1FD1497B" w14:textId="619CEDF1" w:rsidR="00CC52DD" w:rsidRDefault="00F15050">
      <w:pPr>
        <w:pStyle w:val="BodyText"/>
        <w:ind w:left="1080"/>
      </w:pPr>
      <w:r>
        <w:t>that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damage</w:t>
      </w:r>
      <w:r>
        <w:rPr>
          <w:spacing w:val="-5"/>
        </w:rPr>
        <w:t xml:space="preserve"> </w:t>
      </w:r>
      <w:r>
        <w:t>library</w:t>
      </w:r>
      <w:r>
        <w:rPr>
          <w:spacing w:val="-8"/>
        </w:rPr>
        <w:t xml:space="preserve"> </w:t>
      </w:r>
      <w:r>
        <w:rPr>
          <w:spacing w:val="-2"/>
        </w:rPr>
        <w:t>facili</w:t>
      </w:r>
      <w:r w:rsidR="000859A8">
        <w:t>ti</w:t>
      </w:r>
      <w:r>
        <w:rPr>
          <w:spacing w:val="-2"/>
        </w:rPr>
        <w:t>es.</w:t>
      </w:r>
    </w:p>
    <w:p w14:paraId="3AFCBDCA" w14:textId="77777777" w:rsidR="00CC52DD" w:rsidRDefault="00F15050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1223"/>
        <w:rPr>
          <w:rFonts w:ascii="Symbol" w:hAnsi="Symbol"/>
          <w:sz w:val="20"/>
        </w:rPr>
      </w:pPr>
      <w:r>
        <w:t>Materials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scale,</w:t>
      </w:r>
      <w:r>
        <w:rPr>
          <w:spacing w:val="-6"/>
        </w:rPr>
        <w:t xml:space="preserve"> </w:t>
      </w:r>
      <w:r>
        <w:t>material,</w:t>
      </w:r>
      <w:r>
        <w:rPr>
          <w:spacing w:val="-8"/>
        </w:rPr>
        <w:t xml:space="preserve"> </w:t>
      </w:r>
      <w:r>
        <w:t>form,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content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library </w:t>
      </w:r>
      <w:r>
        <w:rPr>
          <w:spacing w:val="-2"/>
        </w:rPr>
        <w:t>environment.</w:t>
      </w:r>
    </w:p>
    <w:p w14:paraId="0D09BA83" w14:textId="3A0694A1" w:rsidR="00CC52DD" w:rsidRDefault="00F15050">
      <w:pPr>
        <w:pStyle w:val="ListParagraph"/>
        <w:numPr>
          <w:ilvl w:val="0"/>
          <w:numId w:val="1"/>
        </w:numPr>
        <w:tabs>
          <w:tab w:val="left" w:pos="1079"/>
        </w:tabs>
        <w:spacing w:line="267" w:lineRule="exact"/>
        <w:ind w:left="1079" w:hanging="359"/>
        <w:rPr>
          <w:rFonts w:ascii="Symbol" w:eastAsia="Symbol" w:hAnsi="Symbol" w:cs="Symbol"/>
          <w:sz w:val="20"/>
          <w:szCs w:val="20"/>
        </w:rPr>
      </w:pPr>
      <w:r>
        <w:t>The</w:t>
      </w:r>
      <w:r>
        <w:rPr>
          <w:spacing w:val="-3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dura</w:t>
      </w:r>
      <w:r w:rsidR="000859A8">
        <w:t>ti</w:t>
      </w:r>
      <w:r>
        <w:t>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exhibit or</w:t>
      </w:r>
      <w:r>
        <w:rPr>
          <w:spacing w:val="-2"/>
        </w:rPr>
        <w:t xml:space="preserve"> </w:t>
      </w:r>
      <w:r>
        <w:t>display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days,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dura</w:t>
      </w:r>
      <w:r w:rsidR="000859A8">
        <w:t>ti</w:t>
      </w:r>
      <w:r>
        <w:t>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 xml:space="preserve">90 </w:t>
      </w:r>
      <w:r>
        <w:rPr>
          <w:spacing w:val="-2"/>
        </w:rPr>
        <w:t>days.</w:t>
      </w:r>
    </w:p>
    <w:p w14:paraId="4944FC0C" w14:textId="42BF1A4C" w:rsidR="00CC52DD" w:rsidRDefault="00F1505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rFonts w:ascii="Symbol" w:eastAsia="Symbol" w:hAnsi="Symbol" w:cs="Symbol"/>
          <w:sz w:val="20"/>
          <w:szCs w:val="20"/>
        </w:rPr>
      </w:pPr>
      <w:r>
        <w:t>Set</w:t>
      </w:r>
      <w:r>
        <w:rPr>
          <w:spacing w:val="-8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removal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9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prearranged</w:t>
      </w:r>
      <w:r>
        <w:rPr>
          <w:spacing w:val="-7"/>
        </w:rPr>
        <w:t xml:space="preserve"> </w:t>
      </w:r>
      <w:r w:rsidR="000859A8">
        <w:t>ti</w:t>
      </w:r>
      <w:r>
        <w:rPr>
          <w:spacing w:val="-2"/>
        </w:rPr>
        <w:t>meframe.</w:t>
      </w:r>
    </w:p>
    <w:p w14:paraId="768624A2" w14:textId="79FBC516" w:rsidR="00CC52DD" w:rsidRDefault="00F1505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rFonts w:ascii="Symbol" w:eastAsia="Symbol" w:hAnsi="Symbol" w:cs="Symbol"/>
          <w:sz w:val="20"/>
          <w:szCs w:val="20"/>
        </w:rPr>
      </w:pPr>
      <w:r>
        <w:t>If</w:t>
      </w:r>
      <w:r>
        <w:rPr>
          <w:spacing w:val="-9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removed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prearranged</w:t>
      </w:r>
      <w:r>
        <w:rPr>
          <w:spacing w:val="-9"/>
        </w:rPr>
        <w:t xml:space="preserve"> </w:t>
      </w:r>
      <w:r w:rsidR="000859A8">
        <w:t>ti</w:t>
      </w:r>
      <w:r>
        <w:t>me,</w:t>
      </w:r>
      <w:r>
        <w:rPr>
          <w:spacing w:val="-8"/>
        </w:rPr>
        <w:t xml:space="preserve"> </w:t>
      </w:r>
      <w:r>
        <w:t>Library</w:t>
      </w:r>
      <w:r>
        <w:rPr>
          <w:spacing w:val="-7"/>
        </w:rPr>
        <w:t xml:space="preserve"> </w:t>
      </w:r>
      <w:r>
        <w:t>staﬀ</w:t>
      </w:r>
      <w:r>
        <w:rPr>
          <w:spacing w:val="-8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rPr>
          <w:spacing w:val="-2"/>
        </w:rPr>
        <w:t>down.</w:t>
      </w:r>
    </w:p>
    <w:p w14:paraId="1338579C" w14:textId="1C07251D" w:rsidR="00CC52DD" w:rsidRDefault="00F15050">
      <w:pPr>
        <w:pStyle w:val="ListParagraph"/>
        <w:numPr>
          <w:ilvl w:val="0"/>
          <w:numId w:val="1"/>
        </w:numPr>
        <w:tabs>
          <w:tab w:val="left" w:pos="1079"/>
        </w:tabs>
        <w:ind w:left="1079" w:right="1336"/>
        <w:rPr>
          <w:rFonts w:ascii="Symbol" w:eastAsia="Symbol" w:hAnsi="Symbol" w:cs="Symbol"/>
          <w:sz w:val="20"/>
          <w:szCs w:val="20"/>
        </w:rPr>
      </w:pPr>
      <w:r>
        <w:t>No</w:t>
      </w:r>
      <w:r>
        <w:rPr>
          <w:spacing w:val="-13"/>
        </w:rPr>
        <w:t xml:space="preserve"> </w:t>
      </w:r>
      <w:r>
        <w:t>restric</w:t>
      </w:r>
      <w:r w:rsidR="000859A8">
        <w:t>ti</w:t>
      </w:r>
      <w:r>
        <w:t>ons</w:t>
      </w:r>
      <w:r>
        <w:rPr>
          <w:spacing w:val="-11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Library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prevent</w:t>
      </w:r>
      <w:r>
        <w:rPr>
          <w:spacing w:val="-13"/>
        </w:rPr>
        <w:t xml:space="preserve"> </w:t>
      </w:r>
      <w:r>
        <w:t>members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from photographing an exhibit.</w:t>
      </w:r>
    </w:p>
    <w:p w14:paraId="7385BFC7" w14:textId="1827C037" w:rsidR="00CC52DD" w:rsidRDefault="00F15050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229"/>
        <w:rPr>
          <w:rFonts w:ascii="Symbol" w:eastAsia="Symbol" w:hAnsi="Symbol" w:cs="Symbol"/>
          <w:sz w:val="20"/>
          <w:szCs w:val="20"/>
        </w:rPr>
      </w:pPr>
      <w:r>
        <w:t>The Library assumes no responsibility or liability whatsoever, regardless of cause, for loss or damage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exhibitor</w:t>
      </w:r>
      <w:r>
        <w:rPr>
          <w:spacing w:val="-13"/>
        </w:rPr>
        <w:t xml:space="preserve"> </w:t>
      </w:r>
      <w:r>
        <w:t>property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supplies</w:t>
      </w:r>
      <w:r>
        <w:rPr>
          <w:spacing w:val="-12"/>
        </w:rPr>
        <w:t xml:space="preserve"> </w:t>
      </w:r>
      <w:r>
        <w:t>during</w:t>
      </w:r>
      <w:r>
        <w:rPr>
          <w:spacing w:val="-13"/>
        </w:rPr>
        <w:t xml:space="preserve"> </w:t>
      </w:r>
      <w:r>
        <w:t>installa</w:t>
      </w:r>
      <w:r w:rsidR="000859A8">
        <w:t>ti</w:t>
      </w:r>
      <w:r>
        <w:t>on,</w:t>
      </w:r>
      <w:r>
        <w:rPr>
          <w:spacing w:val="-12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display,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removal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the </w:t>
      </w:r>
      <w:r>
        <w:rPr>
          <w:spacing w:val="-2"/>
        </w:rPr>
        <w:t>exhibi</w:t>
      </w:r>
      <w:r w:rsidR="000859A8">
        <w:t>ti</w:t>
      </w:r>
      <w:r>
        <w:rPr>
          <w:spacing w:val="-2"/>
        </w:rPr>
        <w:t>on.</w:t>
      </w:r>
    </w:p>
    <w:p w14:paraId="6D1B39C4" w14:textId="77777777" w:rsidR="00CC52DD" w:rsidRDefault="00F1505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rFonts w:ascii="Symbol" w:hAnsi="Symbol"/>
          <w:sz w:val="20"/>
        </w:rPr>
      </w:pPr>
      <w:r>
        <w:t>Exhibits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advocate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purchase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service.</w:t>
      </w:r>
    </w:p>
    <w:p w14:paraId="4883F370" w14:textId="77777777" w:rsidR="00CC52DD" w:rsidRDefault="00F15050">
      <w:pPr>
        <w:pStyle w:val="ListParagraph"/>
        <w:numPr>
          <w:ilvl w:val="0"/>
          <w:numId w:val="1"/>
        </w:numPr>
        <w:tabs>
          <w:tab w:val="left" w:pos="1079"/>
        </w:tabs>
        <w:spacing w:before="1" w:line="267" w:lineRule="exact"/>
        <w:ind w:left="1079" w:hanging="359"/>
        <w:rPr>
          <w:rFonts w:ascii="Symbol" w:hAnsi="Symbol"/>
          <w:sz w:val="20"/>
        </w:rPr>
      </w:pPr>
      <w:r>
        <w:t>Exhibits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disparage</w:t>
      </w:r>
      <w:r>
        <w:rPr>
          <w:spacing w:val="-4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groups.</w:t>
      </w:r>
    </w:p>
    <w:p w14:paraId="091EE46F" w14:textId="04CAD17C" w:rsidR="00CC52DD" w:rsidRDefault="00F15050">
      <w:pPr>
        <w:pStyle w:val="ListParagraph"/>
        <w:numPr>
          <w:ilvl w:val="0"/>
          <w:numId w:val="1"/>
        </w:numPr>
        <w:tabs>
          <w:tab w:val="left" w:pos="1079"/>
        </w:tabs>
        <w:ind w:left="1079" w:right="215"/>
        <w:rPr>
          <w:rFonts w:ascii="Symbol" w:eastAsia="Symbol" w:hAnsi="Symbol" w:cs="Symbol"/>
          <w:sz w:val="20"/>
          <w:szCs w:val="20"/>
        </w:rPr>
      </w:pPr>
      <w:r>
        <w:t>Exhibitors</w:t>
      </w:r>
      <w:r>
        <w:rPr>
          <w:spacing w:val="-13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own</w:t>
      </w:r>
      <w:r>
        <w:rPr>
          <w:spacing w:val="-12"/>
        </w:rPr>
        <w:t xml:space="preserve"> </w:t>
      </w:r>
      <w:r>
        <w:t>printed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typed</w:t>
      </w:r>
      <w:r>
        <w:rPr>
          <w:spacing w:val="-12"/>
        </w:rPr>
        <w:t xml:space="preserve"> </w:t>
      </w:r>
      <w:r>
        <w:t>iden</w:t>
      </w:r>
      <w:r w:rsidR="000859A8">
        <w:t>ti</w:t>
      </w:r>
      <w:r>
        <w:t>fying</w:t>
      </w:r>
      <w:r>
        <w:rPr>
          <w:spacing w:val="-12"/>
        </w:rPr>
        <w:t xml:space="preserve"> </w:t>
      </w:r>
      <w:r>
        <w:t>labels.</w:t>
      </w:r>
      <w:r>
        <w:rPr>
          <w:spacing w:val="-13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prices</w:t>
      </w:r>
      <w:r>
        <w:rPr>
          <w:spacing w:val="-11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aﬃxed on or near any materials displayed because exhibits and displays are not provided for commercial purposes.</w:t>
      </w:r>
    </w:p>
    <w:p w14:paraId="012E3A83" w14:textId="0D508964" w:rsidR="00CC52DD" w:rsidRDefault="00F1505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rFonts w:ascii="Symbol" w:eastAsia="Symbol" w:hAnsi="Symbol" w:cs="Symbol"/>
          <w:sz w:val="20"/>
          <w:szCs w:val="20"/>
        </w:rPr>
      </w:pPr>
      <w:r>
        <w:t>Exhibitor's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informa</w:t>
      </w:r>
      <w:r w:rsidR="000859A8">
        <w:t>ti</w:t>
      </w:r>
      <w:r>
        <w:t>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Exhibit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Display</w:t>
      </w:r>
      <w:r>
        <w:rPr>
          <w:spacing w:val="-2"/>
        </w:rPr>
        <w:t xml:space="preserve"> </w:t>
      </w:r>
      <w:r>
        <w:t>Applica</w:t>
      </w:r>
      <w:r w:rsidR="000859A8">
        <w:t>ti</w:t>
      </w:r>
      <w:r>
        <w:t>on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6587724E" w14:textId="77777777" w:rsidR="00CC52DD" w:rsidRDefault="00F15050">
      <w:pPr>
        <w:pStyle w:val="BodyText"/>
      </w:pPr>
      <w:r>
        <w:rPr>
          <w:spacing w:val="-2"/>
        </w:rPr>
        <w:t>public.</w:t>
      </w:r>
    </w:p>
    <w:p w14:paraId="1838F574" w14:textId="77777777" w:rsidR="00CC52DD" w:rsidRDefault="00CC52DD">
      <w:pPr>
        <w:pStyle w:val="BodyText"/>
        <w:ind w:left="0"/>
      </w:pPr>
    </w:p>
    <w:p w14:paraId="5C2D1D49" w14:textId="677AF1A0" w:rsidR="00CC52DD" w:rsidRDefault="00F15050">
      <w:pPr>
        <w:pStyle w:val="BodyText"/>
        <w:ind w:left="359" w:right="3"/>
      </w:pPr>
      <w:r>
        <w:t>An organiza</w:t>
      </w:r>
      <w:r w:rsidR="000859A8">
        <w:t>ti</w:t>
      </w:r>
      <w:r>
        <w:t>on, group, or individual may appeal the denial of an Exhibit and Display Applica</w:t>
      </w:r>
      <w:r w:rsidR="000859A8">
        <w:t>ti</w:t>
      </w:r>
      <w:r>
        <w:t>on in wri</w:t>
      </w:r>
      <w:r w:rsidR="000859A8">
        <w:t>ti</w:t>
      </w:r>
      <w:r>
        <w:t>ng to the Library Director within 14 days of the denial. The Library Director will review the appeal within 14 days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receipt. If</w:t>
      </w:r>
      <w:r>
        <w:rPr>
          <w:spacing w:val="-1"/>
        </w:rPr>
        <w:t xml:space="preserve"> </w:t>
      </w:r>
      <w:r>
        <w:t>unsa</w:t>
      </w:r>
      <w:r w:rsidR="000859A8">
        <w:t>ti</w:t>
      </w:r>
      <w:r>
        <w:t>sﬁed by the Library Director’s</w:t>
      </w:r>
      <w:r>
        <w:rPr>
          <w:spacing w:val="-1"/>
        </w:rPr>
        <w:t xml:space="preserve"> </w:t>
      </w:r>
      <w:r>
        <w:t>response, the</w:t>
      </w:r>
      <w:r>
        <w:rPr>
          <w:spacing w:val="-1"/>
        </w:rPr>
        <w:t xml:space="preserve"> </w:t>
      </w:r>
      <w:r>
        <w:t>organiza</w:t>
      </w:r>
      <w:r w:rsidR="000859A8">
        <w:t>ti</w:t>
      </w:r>
      <w:r>
        <w:t>on,</w:t>
      </w:r>
      <w:r>
        <w:rPr>
          <w:spacing w:val="-1"/>
        </w:rPr>
        <w:t xml:space="preserve"> </w:t>
      </w:r>
      <w:r>
        <w:t xml:space="preserve">group, or individual who </w:t>
      </w:r>
      <w:r w:rsidR="000859A8">
        <w:t>submitted</w:t>
      </w:r>
      <w:r>
        <w:t xml:space="preserve"> the applica</w:t>
      </w:r>
      <w:r w:rsidR="000859A8">
        <w:t>ti</w:t>
      </w:r>
      <w:r>
        <w:t>on may appeal the decision to the Library Board. The Library Board will consider the appeal during its next regularly scheduled public mee</w:t>
      </w:r>
      <w:r w:rsidR="000859A8">
        <w:t>ti</w:t>
      </w:r>
      <w:r>
        <w:t>ng. The organiza</w:t>
      </w:r>
      <w:r w:rsidR="000859A8">
        <w:t>ti</w:t>
      </w:r>
      <w:r>
        <w:t>on, group,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Library</w:t>
      </w:r>
      <w:r>
        <w:rPr>
          <w:spacing w:val="-5"/>
        </w:rPr>
        <w:t xml:space="preserve"> </w:t>
      </w:r>
      <w:r>
        <w:t>Director’s</w:t>
      </w:r>
      <w:r>
        <w:rPr>
          <w:spacing w:val="-4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to the Library Board. The decision of the Library Board shall be ﬁnal.</w:t>
      </w:r>
    </w:p>
    <w:p w14:paraId="49C9518F" w14:textId="77777777" w:rsidR="00CC52DD" w:rsidRDefault="00F15050">
      <w:pPr>
        <w:spacing w:before="267"/>
        <w:ind w:left="359"/>
        <w:rPr>
          <w:i/>
        </w:rPr>
      </w:pPr>
      <w:r>
        <w:rPr>
          <w:i/>
        </w:rPr>
        <w:t>Adopted</w:t>
      </w:r>
      <w:r>
        <w:rPr>
          <w:i/>
          <w:spacing w:val="-6"/>
        </w:rPr>
        <w:t xml:space="preserve"> </w:t>
      </w:r>
      <w:r>
        <w:rPr>
          <w:i/>
        </w:rPr>
        <w:t>by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Library</w:t>
      </w:r>
      <w:r>
        <w:rPr>
          <w:i/>
          <w:spacing w:val="-4"/>
        </w:rPr>
        <w:t xml:space="preserve"> </w:t>
      </w:r>
      <w:r>
        <w:rPr>
          <w:i/>
        </w:rPr>
        <w:t>Board</w:t>
      </w:r>
      <w:r>
        <w:rPr>
          <w:i/>
          <w:spacing w:val="-5"/>
        </w:rPr>
        <w:t xml:space="preserve"> </w:t>
      </w:r>
      <w:r>
        <w:rPr>
          <w:i/>
        </w:rPr>
        <w:t>September</w:t>
      </w:r>
      <w:r>
        <w:rPr>
          <w:i/>
          <w:spacing w:val="-5"/>
        </w:rPr>
        <w:t xml:space="preserve"> </w:t>
      </w:r>
      <w:r>
        <w:rPr>
          <w:i/>
        </w:rPr>
        <w:t>10,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2025</w:t>
      </w:r>
    </w:p>
    <w:sectPr w:rsidR="00CC52DD">
      <w:pgSz w:w="12240" w:h="15840"/>
      <w:pgMar w:top="1360" w:right="1440" w:bottom="1200" w:left="108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A7B7" w14:textId="77777777" w:rsidR="00482F42" w:rsidRDefault="00482F42">
      <w:r>
        <w:separator/>
      </w:r>
    </w:p>
  </w:endnote>
  <w:endnote w:type="continuationSeparator" w:id="0">
    <w:p w14:paraId="3DB28ECD" w14:textId="77777777" w:rsidR="00482F42" w:rsidRDefault="0048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0335" w14:textId="77777777" w:rsidR="00CC52DD" w:rsidRDefault="00F1505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6947FCE8" wp14:editId="09BE2EFF">
              <wp:simplePos x="0" y="0"/>
              <wp:positionH relativeFrom="page">
                <wp:posOffset>3813047</wp:posOffset>
              </wp:positionH>
              <wp:positionV relativeFrom="page">
                <wp:posOffset>9274556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1D9087" w14:textId="77777777" w:rsidR="00CC52DD" w:rsidRDefault="00F1505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7FCE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25pt;margin-top:730.3pt;width:12.6pt;height:13.0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ayiPuOAAAAAN&#10;AQAADwAAAGRycy9kb3ducmV2LnhtbEyPwU7DMAyG70i8Q2QkbixhYtkoTacJwQlpWlcOHNPGa6M1&#10;Tmmyrbw92QmO9v/p9+d8PbmenXEM1pOCx5kAhtR4Y6lV8Fm9P6yAhajJ6N4TKvjBAOvi9ibXmfEX&#10;KvG8jy1LJRQyraCLccg4D02HToeZH5BSdvCj0zGNY8vNqC+p3PV8LoTkTltKFzo94GuHzXF/cgo2&#10;X1S+2e9tvSsPpa2qZ0Ef8qjU/d20eQEWcYp/MFz1kzoUyan2JzKB9QqkEIuEpuBJCgksIXK+WAKr&#10;r6uVXAIvcv7/i+IX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ayiPuOAAAAANAQAA&#10;DwAAAAAAAAAAAAAAAADrAwAAZHJzL2Rvd25yZXYueG1sUEsFBgAAAAAEAAQA8wAAAPgEAAAAAA==&#10;" filled="f" stroked="f">
              <v:textbox inset="0,0,0,0">
                <w:txbxContent>
                  <w:p w14:paraId="601D9087" w14:textId="77777777" w:rsidR="00CC52DD" w:rsidRDefault="00F1505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2438" w14:textId="77777777" w:rsidR="00482F42" w:rsidRDefault="00482F42">
      <w:r>
        <w:separator/>
      </w:r>
    </w:p>
  </w:footnote>
  <w:footnote w:type="continuationSeparator" w:id="0">
    <w:p w14:paraId="6C24A9CA" w14:textId="77777777" w:rsidR="00482F42" w:rsidRDefault="00482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602F1"/>
    <w:multiLevelType w:val="hybridMultilevel"/>
    <w:tmpl w:val="1C647F74"/>
    <w:lvl w:ilvl="0" w:tplc="F9B058F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436CEE56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FB78F52A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0876F5BC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C24092F4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1BC4AE9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99A01776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77EAAA94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970403AE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 w16cid:durableId="129938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52DD"/>
    <w:rsid w:val="000859A8"/>
    <w:rsid w:val="00170310"/>
    <w:rsid w:val="00281F0A"/>
    <w:rsid w:val="002E476B"/>
    <w:rsid w:val="004503B1"/>
    <w:rsid w:val="00482F42"/>
    <w:rsid w:val="00575ADC"/>
    <w:rsid w:val="00737FB3"/>
    <w:rsid w:val="00794D06"/>
    <w:rsid w:val="007F1A01"/>
    <w:rsid w:val="00911B0F"/>
    <w:rsid w:val="00970C56"/>
    <w:rsid w:val="00973AA2"/>
    <w:rsid w:val="00980E22"/>
    <w:rsid w:val="00A82488"/>
    <w:rsid w:val="00B6452C"/>
    <w:rsid w:val="00C33704"/>
    <w:rsid w:val="00CC52DD"/>
    <w:rsid w:val="00DA13C6"/>
    <w:rsid w:val="00E60082"/>
    <w:rsid w:val="00F1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B49F"/>
  <w15:docId w15:val="{5320575F-C073-430C-8E95-91336CF9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9"/>
    </w:p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Walton</dc:creator>
  <dc:description/>
  <cp:lastModifiedBy>Katrina Dikitanan</cp:lastModifiedBy>
  <cp:revision>9</cp:revision>
  <dcterms:created xsi:type="dcterms:W3CDTF">2026-04-06T21:40:00Z</dcterms:created>
  <dcterms:modified xsi:type="dcterms:W3CDTF">2026-04-16T18:25:00Z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2026-04-06T00:00:00Z</vt:filetime>
  </property>
  <property fmtid="{D5CDD505-2E9C-101B-9397-08002B2CF9AE}" pid="5" name="Producer">
    <vt:lpwstr>Adobe PDF Library 20.5.73</vt:lpwstr>
  </property>
  <property fmtid="{D5CDD505-2E9C-101B-9397-08002B2CF9AE}" pid="6" name="SourceModified">
    <vt:lpwstr/>
  </property>
  <property fmtid="{D5CDD505-2E9C-101B-9397-08002B2CF9AE}" pid="7" name="MSIP_Label_defa4170-0d19-0005-0003-bc88714345d2_Enabled">
    <vt:lpwstr>true</vt:lpwstr>
  </property>
  <property fmtid="{D5CDD505-2E9C-101B-9397-08002B2CF9AE}" pid="8" name="MSIP_Label_defa4170-0d19-0005-0003-bc88714345d2_SetDate">
    <vt:lpwstr>2026-04-16T18:25:02Z</vt:lpwstr>
  </property>
  <property fmtid="{D5CDD505-2E9C-101B-9397-08002B2CF9AE}" pid="9" name="MSIP_Label_defa4170-0d19-0005-0003-bc88714345d2_Method">
    <vt:lpwstr>Privileged</vt:lpwstr>
  </property>
  <property fmtid="{D5CDD505-2E9C-101B-9397-08002B2CF9AE}" pid="10" name="MSIP_Label_defa4170-0d19-0005-0003-bc88714345d2_Name">
    <vt:lpwstr>defa4170-0d19-0005-0003-bc88714345d2</vt:lpwstr>
  </property>
  <property fmtid="{D5CDD505-2E9C-101B-9397-08002B2CF9AE}" pid="11" name="MSIP_Label_defa4170-0d19-0005-0003-bc88714345d2_SiteId">
    <vt:lpwstr>fc7d8c95-9856-4287-958d-2204fe97361a</vt:lpwstr>
  </property>
  <property fmtid="{D5CDD505-2E9C-101B-9397-08002B2CF9AE}" pid="12" name="MSIP_Label_defa4170-0d19-0005-0003-bc88714345d2_ActionId">
    <vt:lpwstr>37788c21-4be0-430c-9e50-97ff714693ee</vt:lpwstr>
  </property>
  <property fmtid="{D5CDD505-2E9C-101B-9397-08002B2CF9AE}" pid="13" name="MSIP_Label_defa4170-0d19-0005-0003-bc88714345d2_ContentBits">
    <vt:lpwstr>0</vt:lpwstr>
  </property>
  <property fmtid="{D5CDD505-2E9C-101B-9397-08002B2CF9AE}" pid="14" name="MSIP_Label_defa4170-0d19-0005-0003-bc88714345d2_Tag">
    <vt:lpwstr>10, 0, 1, 1</vt:lpwstr>
  </property>
</Properties>
</file>